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lang w:val="en-US" w:eastAsia="zh-CN" w:bidi="ar"/>
        </w:rPr>
        <w:t>合肥盐业冷链食品加工中心智能化设计项目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lang w:val="en-US" w:eastAsia="zh-CN" w:bidi="ar"/>
        </w:rPr>
        <w:t>询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价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lang w:val="en-US" w:eastAsia="zh-CN" w:bidi="ar"/>
        </w:rPr>
        <w:t>报价单</w:t>
      </w:r>
    </w:p>
    <w:tbl>
      <w:tblPr>
        <w:tblStyle w:val="2"/>
        <w:tblpPr w:leftFromText="180" w:rightFromText="180" w:vertAnchor="text" w:horzAnchor="page" w:tblpX="1432" w:tblpY="451"/>
        <w:tblOverlap w:val="never"/>
        <w:tblW w:w="14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8685"/>
        <w:gridCol w:w="18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报价包含的内容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总价（含税及一切费用）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合肥盐业冷链食品加工中心智能化设计项目</w:t>
            </w:r>
          </w:p>
        </w:tc>
        <w:tc>
          <w:tcPr>
            <w:tcW w:w="8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合肥盐业冷链食品加工中心1#、2#、3#库房、研发楼及厂区周边弱电智能化设计项目，主要内容包含计算机网络，综合管路及布线，机房工程，视频监控，巡更系统，电梯五方对讲，门禁及停车场管理系统；同时协助建设单位与营运商、广电部门、安全防范部门沟通协调并确保设计图纸审核通过，配合完成施工单位过程验收和竣工验收工作，配合完成图纸评审和施工过程各项设计变更和调整工作，报价为一次性包死价，全过程中不作调整，包含设计费、配合费、验收、税金等一切费用，图纸要求电子版一套、纸质版十套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320" w:hanging="1320" w:hangingChars="60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元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87C4C"/>
    <w:rsid w:val="3B9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2024-04-25T08:25:00Z</dcterms:created>
  <dc:creator> </dc:creator>
  <cp:lastModifiedBy> </cp:lastModifiedBy>
  <dcterms:modified xsi:type="dcterms:W3CDTF">2024-04-25T08:26:06Z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095FF52E99134B3BB2C06843D603CFB7</vt:lpwstr>
  </property>
</Properties>
</file>