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spacing w:line="360" w:lineRule="auto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ascii="宋体" w:hAnsi="宋体" w:eastAsia="宋体"/>
          <w:b/>
          <w:sz w:val="24"/>
        </w:rPr>
        <w:t>附件一：</w:t>
      </w:r>
      <w:r>
        <w:rPr>
          <w:rFonts w:hint="eastAsia" w:ascii="宋体" w:hAnsi="宋体" w:eastAsia="宋体"/>
          <w:b/>
          <w:sz w:val="24"/>
          <w:lang w:eastAsia="zh-CN"/>
        </w:rPr>
        <w:t xml:space="preserve"> </w:t>
      </w:r>
    </w:p>
    <w:tbl>
      <w:tblPr>
        <w:tblStyle w:val="3"/>
        <w:tblW w:w="10207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113"/>
        <w:gridCol w:w="1375"/>
        <w:gridCol w:w="2562"/>
        <w:gridCol w:w="1238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梯号</w:t>
            </w:r>
          </w:p>
        </w:tc>
        <w:tc>
          <w:tcPr>
            <w:tcW w:w="2113" w:type="dxa"/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电梯品牌</w:t>
            </w:r>
          </w:p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规格及型号</w:t>
            </w:r>
          </w:p>
        </w:tc>
        <w:tc>
          <w:tcPr>
            <w:tcW w:w="1375" w:type="dxa"/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层/站/门</w:t>
            </w:r>
          </w:p>
        </w:tc>
        <w:tc>
          <w:tcPr>
            <w:tcW w:w="2562" w:type="dxa"/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运行地点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保养时间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保养金额</w:t>
            </w:r>
          </w:p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（元/年）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13G068874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日立电梯HGP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20/20/20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酒店员工电梯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13G068873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日立电梯HGP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20/20/20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酒店员工电梯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13G068888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日立电梯HGP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20/20/20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酒店客梯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13G068886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日立电梯HGP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21/21/21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酒店客梯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13G068887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日立电梯HGP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21/21/21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酒店客梯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HA4621006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hAnsi="仿宋_GB2312"/>
                <w:sz w:val="24"/>
                <w:highlight w:val="yellow"/>
                <w:lang w:val="en-US" w:eastAsia="zh-CN"/>
              </w:rPr>
              <w:t>迅达电梯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5/5/5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酒店餐饮客梯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HA4621007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highlight w:val="yellow"/>
                <w:lang w:eastAsia="zh-CN"/>
              </w:rPr>
            </w:pPr>
            <w:r>
              <w:rPr>
                <w:rFonts w:hint="eastAsia" w:hAnsi="仿宋_GB2312"/>
                <w:sz w:val="24"/>
                <w:highlight w:val="yellow"/>
                <w:lang w:val="en-US" w:eastAsia="zh-CN"/>
              </w:rPr>
              <w:t>迅达电梯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5/5/5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酒店餐饮客梯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HA4621008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highlight w:val="yellow"/>
                <w:lang w:eastAsia="zh-CN"/>
              </w:rPr>
            </w:pPr>
            <w:r>
              <w:rPr>
                <w:rFonts w:hint="eastAsia" w:hAnsi="仿宋_GB2312"/>
                <w:sz w:val="24"/>
                <w:highlight w:val="yellow"/>
                <w:lang w:val="en-US" w:eastAsia="zh-CN"/>
              </w:rPr>
              <w:t>迅达电梯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5/5/5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酒店餐饮货梯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HA4621009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highlight w:val="yellow"/>
                <w:lang w:eastAsia="zh-CN"/>
              </w:rPr>
            </w:pPr>
            <w:r>
              <w:rPr>
                <w:rFonts w:hint="eastAsia" w:hAnsi="仿宋_GB2312"/>
                <w:sz w:val="24"/>
                <w:highlight w:val="yellow"/>
                <w:lang w:val="en-US" w:eastAsia="zh-CN"/>
              </w:rPr>
              <w:t>迅达电梯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2/2/2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餐梯南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hAnsi="仿宋_GB2312"/>
                <w:sz w:val="24"/>
                <w:highlight w:val="yellow"/>
                <w:lang w:val="en-US" w:eastAsia="zh-CN"/>
              </w:rPr>
              <w:t>南侧餐梯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4/4/4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酒店餐饮后堂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餐梯北</w:t>
            </w:r>
          </w:p>
        </w:tc>
        <w:tc>
          <w:tcPr>
            <w:tcW w:w="2113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highlight w:val="yellow"/>
                <w:lang w:eastAsia="zh-CN"/>
              </w:rPr>
            </w:pPr>
            <w:r>
              <w:rPr>
                <w:rFonts w:hint="eastAsia" w:hAnsi="仿宋_GB2312"/>
                <w:sz w:val="24"/>
                <w:highlight w:val="yellow"/>
                <w:lang w:val="en-US" w:eastAsia="zh-CN"/>
              </w:rPr>
              <w:t>北侧餐梯</w:t>
            </w:r>
          </w:p>
        </w:tc>
        <w:tc>
          <w:tcPr>
            <w:tcW w:w="137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4/4/4</w:t>
            </w:r>
          </w:p>
        </w:tc>
        <w:tc>
          <w:tcPr>
            <w:tcW w:w="2562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酒店餐饮后堂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2" w:type="dxa"/>
            <w:gridSpan w:val="5"/>
            <w:noWrap w:val="0"/>
            <w:vAlign w:val="top"/>
          </w:tcPr>
          <w:p>
            <w:pPr>
              <w:wordWrap/>
              <w:spacing w:line="360" w:lineRule="auto"/>
              <w:jc w:val="center"/>
              <w:rPr>
                <w:rFonts w:hint="default" w:hAnsi="仿宋_GB2312"/>
                <w:sz w:val="24"/>
                <w:lang w:val="en-US"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合计</w:t>
            </w:r>
          </w:p>
        </w:tc>
        <w:tc>
          <w:tcPr>
            <w:tcW w:w="1545" w:type="dxa"/>
            <w:noWrap w:val="0"/>
            <w:vAlign w:val="top"/>
          </w:tcPr>
          <w:p>
            <w:pPr>
              <w:wordWrap/>
              <w:spacing w:line="360" w:lineRule="auto"/>
              <w:rPr>
                <w:rFonts w:hint="eastAsia" w:hAnsi="仿宋_GB2312"/>
                <w:sz w:val="24"/>
                <w:lang w:eastAsia="zh-CN"/>
              </w:rPr>
            </w:pPr>
          </w:p>
        </w:tc>
      </w:tr>
    </w:tbl>
    <w:p>
      <w:pPr>
        <w:wordWrap/>
        <w:spacing w:line="360" w:lineRule="auto"/>
        <w:ind w:left="960" w:hanging="960" w:hangingChars="400"/>
        <w:rPr>
          <w:rFonts w:hint="eastAsia" w:hAnsi="仿宋_GB2312"/>
          <w:sz w:val="24"/>
          <w:lang w:eastAsia="zh-CN"/>
        </w:rPr>
      </w:pPr>
      <w:r>
        <w:rPr>
          <w:rFonts w:hint="eastAsia" w:hAnsi="仿宋_GB2312"/>
          <w:sz w:val="24"/>
          <w:lang w:eastAsia="zh-CN"/>
        </w:rPr>
        <w:t>说明：1、法定大修、整改项目的部件更换，需电梯制造单位授权委托，其手续费用另行约定；</w:t>
      </w:r>
    </w:p>
    <w:p>
      <w:pPr>
        <w:wordWrap/>
        <w:spacing w:line="360" w:lineRule="auto"/>
        <w:ind w:left="960" w:hanging="960" w:hangingChars="400"/>
        <w:rPr>
          <w:rFonts w:hint="eastAsia" w:hAnsi="仿宋_GB2312"/>
          <w:sz w:val="24"/>
          <w:lang w:eastAsia="zh-CN"/>
        </w:rPr>
      </w:pPr>
      <w:r>
        <w:rPr>
          <w:rFonts w:hint="eastAsia" w:hAnsi="仿宋_GB2312"/>
          <w:sz w:val="24"/>
          <w:lang w:eastAsia="zh-CN"/>
        </w:rPr>
        <w:t xml:space="preserve">      2、以上价格</w:t>
      </w:r>
      <w:r>
        <w:rPr>
          <w:rFonts w:hint="eastAsia" w:hAnsi="仿宋_GB2312"/>
          <w:sz w:val="24"/>
          <w:lang w:val="en-US" w:eastAsia="zh-CN"/>
        </w:rPr>
        <w:t>包含</w:t>
      </w:r>
      <w:r>
        <w:rPr>
          <w:rFonts w:hint="eastAsia" w:hAnsi="仿宋_GB2312"/>
          <w:sz w:val="24"/>
          <w:lang w:eastAsia="zh-CN"/>
        </w:rPr>
        <w:t>税票；</w:t>
      </w: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  <w:r>
        <w:rPr>
          <w:rFonts w:hint="eastAsia" w:hAnsi="仿宋_GB2312"/>
          <w:sz w:val="24"/>
          <w:lang w:eastAsia="zh-CN"/>
        </w:rPr>
        <w:t>3、以上价格表有效期12个月；</w:t>
      </w: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</w:p>
    <w:p>
      <w:pPr>
        <w:wordWrap/>
        <w:spacing w:line="360" w:lineRule="auto"/>
        <w:ind w:firstLine="720" w:firstLineChars="300"/>
        <w:rPr>
          <w:rFonts w:hint="eastAsia" w:hAnsi="仿宋_GB2312"/>
          <w:sz w:val="24"/>
          <w:lang w:eastAsia="zh-CN"/>
        </w:rPr>
      </w:pPr>
      <w:bookmarkStart w:id="0" w:name="_GoBack"/>
      <w:bookmarkEnd w:id="0"/>
    </w:p>
    <w:p>
      <w:pPr>
        <w:wordWrap/>
        <w:spacing w:line="360" w:lineRule="auto"/>
        <w:ind w:firstLine="723" w:firstLineChars="300"/>
        <w:rPr>
          <w:rFonts w:hint="eastAsia" w:hAnsi="仿宋_GB2312"/>
          <w:b/>
          <w:bCs/>
          <w:sz w:val="24"/>
          <w:lang w:eastAsia="zh-CN"/>
        </w:rPr>
      </w:pPr>
      <w:r>
        <w:rPr>
          <w:rFonts w:hint="eastAsia" w:hAnsi="仿宋_GB2312"/>
          <w:b/>
          <w:bCs/>
          <w:sz w:val="24"/>
          <w:lang w:eastAsia="zh-CN"/>
        </w:rPr>
        <w:t>附件二：</w:t>
      </w:r>
    </w:p>
    <w:tbl>
      <w:tblPr>
        <w:tblStyle w:val="3"/>
        <w:tblW w:w="10207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6237"/>
        <w:gridCol w:w="156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09" w:type="dxa"/>
            <w:noWrap w:val="0"/>
            <w:vAlign w:val="top"/>
          </w:tcPr>
          <w:p>
            <w:pPr>
              <w:wordWrap/>
              <w:spacing w:line="40" w:lineRule="atLeast"/>
              <w:jc w:val="both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序号</w:t>
            </w:r>
          </w:p>
        </w:tc>
        <w:tc>
          <w:tcPr>
            <w:tcW w:w="6237" w:type="dxa"/>
            <w:noWrap w:val="0"/>
            <w:vAlign w:val="top"/>
          </w:tcPr>
          <w:p>
            <w:pPr>
              <w:wordWrap/>
              <w:spacing w:line="40" w:lineRule="atLeast"/>
              <w:ind w:firstLine="1920" w:firstLineChars="800"/>
              <w:jc w:val="both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val="en-US" w:eastAsia="zh-CN"/>
              </w:rPr>
              <w:t>检</w:t>
            </w:r>
            <w:r>
              <w:rPr>
                <w:rFonts w:hint="eastAsia" w:hAnsi="仿宋_GB2312"/>
                <w:sz w:val="24"/>
                <w:lang w:eastAsia="zh-CN"/>
              </w:rPr>
              <w:t>查项目基本要求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ind w:firstLine="240" w:firstLineChars="100"/>
              <w:jc w:val="both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检查方法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jc w:val="both"/>
              <w:rPr>
                <w:rFonts w:hint="eastAsia" w:hAnsi="仿宋_GB2312"/>
                <w:sz w:val="24"/>
                <w:lang w:eastAsia="zh-CN"/>
              </w:rPr>
            </w:pPr>
            <w:r>
              <w:rPr>
                <w:rFonts w:hint="eastAsia" w:hAnsi="仿宋_GB2312"/>
                <w:sz w:val="24"/>
                <w:lang w:eastAsia="zh-CN"/>
              </w:rPr>
              <w:t>检查结果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机房、滑轮间干净、整洁，门窗完好，照明正常。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开闸扳手、盘车手轮齐备，物品整齐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开闸后不蹭闸，抱住后手动盘轮不动，检测开关灵活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  <w:lang w:eastAsia="zh-CN"/>
              </w:rPr>
              <w:t>平层标记清晰可见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曳引绳绳头高度均匀，有背母，销子和二元保护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曳引轮槽磨损量均匀，达标，槽内无油腻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7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曳引轮轴承无异响，导向轮轴承无异响无漏油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8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曳引机、控制柜、线槽等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机房设备接地良好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9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控制柜内无安全回路短封线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机房内各安全开关有效（检修、急停、限速器、盘车轮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11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轿顶，轿厢照明有效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12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轿顶卫生清洁，油杯油量适中不溢流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13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曳引绳松紧度达标，绳体磨损量合格，无断股无毛刺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14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安全钳，导靴间隙适中，运行中无刮蹭异响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15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轿顶急停按钮，检修开关，运行按钮有效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16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限位开关，极限开关有效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17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厅门门头卫生清洁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18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厅门锁可靠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偏心轮间隙适中，门缝适中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20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警铃，电话，应急灯有效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21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底坑卫生清洁，无积水，底坑照明有效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22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底坑涨紧轮高度适中，运行无异响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23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底坑各急停开关可靠安全（缓冲器，涨紧轮，急停）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24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对重缓冲距离不小于150mm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25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补偿链离地面不小于50mm，运行中无刮蹭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26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补偿链导向装置有效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27</w:t>
            </w:r>
          </w:p>
        </w:tc>
        <w:tc>
          <w:tcPr>
            <w:tcW w:w="6237" w:type="dxa"/>
            <w:noWrap w:val="0"/>
            <w:vAlign w:val="center"/>
          </w:tcPr>
          <w:p>
            <w:pPr>
              <w:widowControl/>
              <w:wordWrap/>
              <w:spacing w:line="40" w:lineRule="atLeast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4"/>
              </w:rPr>
              <w:t>液压缓冲器有油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wordWrap/>
              <w:spacing w:line="40" w:lineRule="atLeast"/>
              <w:rPr>
                <w:rFonts w:hint="eastAsia" w:hAnsi="仿宋_GB2312"/>
                <w:sz w:val="24"/>
                <w:lang w:eastAsia="zh-CN"/>
              </w:rPr>
            </w:pPr>
          </w:p>
        </w:tc>
      </w:tr>
    </w:tbl>
    <w:p>
      <w:pPr>
        <w:wordWrap/>
        <w:rPr>
          <w:rFonts w:hint="eastAsia" w:ascii="Times New Roman" w:eastAsia="宋体"/>
          <w:sz w:val="21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10AB4"/>
    <w:rsid w:val="3051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仿宋_GB2312" w:hAnsi="Calibri" w:eastAsia="宋体" w:cs="Calibri"/>
      <w:kern w:val="2"/>
      <w:szCs w:val="24"/>
      <w:lang w:val="en-US" w:eastAsia="ko-KR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2019-10-11T07:50:00Z</dcterms:created>
  <dc:creator>昆</dc:creator>
  <cp:lastModifiedBy>昆</cp:lastModifiedBy>
  <dcterms:modified xsi:type="dcterms:W3CDTF">2019-10-11T07:52:06Z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